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basque, I0498</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Cut/Loop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11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Finished0.124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5806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0.276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