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homegrain 12, I490V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ASTM F1700 Class III printed film vinyl tile Type B (embossed)</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12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0.079 inches (2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6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