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emblem 8' x 10', P024T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Cut/Loop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89% wool / 11%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0.500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81.6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